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sz w:val="24"/>
          <w:szCs w:val="24"/>
        </w:rPr>
      </w:pPr>
      <w:bookmarkStart w:id="0" w:name="_GoBack"/>
      <w:bookmarkEnd w:id="0"/>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Questions and Answers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Part 1</w:t>
      </w:r>
    </w:p>
    <w:p>
      <w:pPr>
        <w:pStyle w:val="style179"/>
        <w:spacing w:after="0" w:lineRule="auto" w:line="480"/>
        <w:rPr>
          <w:rFonts w:ascii="Times New Roman" w:cs="Times New Roman" w:hAnsi="Times New Roman"/>
          <w:sz w:val="24"/>
          <w:szCs w:val="24"/>
        </w:rPr>
      </w:pPr>
      <w:r>
        <w:rPr>
          <w:rFonts w:ascii="Times New Roman" w:cs="Times New Roman" w:hAnsi="Times New Roman"/>
          <w:sz w:val="24"/>
          <w:szCs w:val="24"/>
        </w:rPr>
        <w:t xml:space="preserve">1. </w:t>
      </w:r>
      <w:r>
        <w:rPr>
          <w:rFonts w:ascii="Times New Roman" w:cs="Times New Roman" w:hAnsi="Times New Roman"/>
          <w:sz w:val="24"/>
          <w:szCs w:val="24"/>
        </w:rPr>
        <w:t>Olaudah</w:t>
      </w:r>
      <w:r>
        <w:rPr>
          <w:rFonts w:ascii="Times New Roman" w:cs="Times New Roman" w:hAnsi="Times New Roman"/>
          <w:sz w:val="24"/>
          <w:szCs w:val="24"/>
        </w:rPr>
        <w:t xml:space="preserve"> </w:t>
      </w:r>
      <w:r>
        <w:rPr>
          <w:rFonts w:ascii="Times New Roman" w:cs="Times New Roman" w:hAnsi="Times New Roman"/>
          <w:sz w:val="24"/>
          <w:szCs w:val="24"/>
        </w:rPr>
        <w:t>Equiano’s</w:t>
      </w:r>
      <w:r>
        <w:rPr>
          <w:rFonts w:ascii="Times New Roman" w:cs="Times New Roman" w:hAnsi="Times New Roman"/>
          <w:sz w:val="24"/>
          <w:szCs w:val="24"/>
        </w:rPr>
        <w:t xml:space="preserve"> is a slave being sold from master to another. For each master, he is subjected to different labor that affects him physically due to the fact that he was a child. The kind of labor that he is given by his masters varies from one to another. </w:t>
      </w:r>
      <w:r>
        <w:rPr>
          <w:rFonts w:ascii="Times New Roman" w:cs="Times New Roman" w:hAnsi="Times New Roman"/>
          <w:sz w:val="24"/>
          <w:szCs w:val="24"/>
        </w:rPr>
        <w:t>Equiano</w:t>
      </w:r>
      <w:r>
        <w:rPr>
          <w:rFonts w:ascii="Times New Roman" w:cs="Times New Roman" w:hAnsi="Times New Roman"/>
          <w:sz w:val="24"/>
          <w:szCs w:val="24"/>
        </w:rPr>
        <w:t xml:space="preserve"> is psychologically affected by the kind of life they are subjected to as slaves in the ship. Being from a high –class family in his country, he is disturbed by the kind of life he is. Additionally, </w:t>
      </w:r>
      <w:r>
        <w:rPr>
          <w:rFonts w:ascii="Times New Roman" w:cs="Times New Roman" w:hAnsi="Times New Roman"/>
          <w:sz w:val="24"/>
          <w:szCs w:val="24"/>
        </w:rPr>
        <w:t>Equiano</w:t>
      </w:r>
      <w:r>
        <w:rPr>
          <w:rFonts w:ascii="Times New Roman" w:cs="Times New Roman" w:hAnsi="Times New Roman"/>
          <w:sz w:val="24"/>
          <w:szCs w:val="24"/>
        </w:rPr>
        <w:t xml:space="preserve"> seems to be in conflict with himself for failing his masters. Dias (2004) demonstrates disturbed </w:t>
      </w:r>
      <w:r>
        <w:rPr>
          <w:rFonts w:ascii="Times New Roman" w:cs="Times New Roman" w:hAnsi="Times New Roman"/>
          <w:sz w:val="24"/>
          <w:szCs w:val="24"/>
        </w:rPr>
        <w:t>Equiano</w:t>
      </w:r>
      <w:r>
        <w:rPr>
          <w:rFonts w:ascii="Times New Roman" w:cs="Times New Roman" w:hAnsi="Times New Roman"/>
          <w:sz w:val="24"/>
          <w:szCs w:val="24"/>
        </w:rPr>
        <w:t xml:space="preserve"> through his faith. He blames himself for the reason his lords are selling off every time (Dias, 2004).</w:t>
      </w:r>
    </w:p>
    <w:p>
      <w:pPr>
        <w:pStyle w:val="style179"/>
        <w:spacing w:after="0" w:lineRule="auto" w:line="480"/>
        <w:rPr>
          <w:rFonts w:ascii="Times New Roman" w:cs="Times New Roman" w:hAnsi="Times New Roman"/>
          <w:sz w:val="24"/>
          <w:szCs w:val="24"/>
        </w:rPr>
      </w:pPr>
      <w:r>
        <w:rPr>
          <w:rFonts w:ascii="Times New Roman" w:cs="Times New Roman" w:hAnsi="Times New Roman"/>
          <w:sz w:val="24"/>
          <w:szCs w:val="24"/>
        </w:rPr>
        <w:t xml:space="preserve">2.  </w:t>
      </w:r>
      <w:r>
        <w:rPr>
          <w:rFonts w:ascii="Times New Roman" w:cs="Times New Roman" w:hAnsi="Times New Roman"/>
          <w:sz w:val="24"/>
          <w:szCs w:val="24"/>
        </w:rPr>
        <w:t>Although the life as a slave and the dehumanization of the slaves in their shipment was a tragedy, the Africans would stand the trauma and think of their cultures. They could bring with them the kind of tradition that they were familiar with to help during the standoff. Lovejoy (2005) states that the trading of the Africans was core in the development of the Western countries making it inevitable. Therefore, holding to their culture would help like maintaining their types of food, communication styles, and entertainments.</w:t>
      </w:r>
    </w:p>
    <w:p>
      <w:pPr>
        <w:pStyle w:val="style179"/>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Part 2</w:t>
      </w:r>
    </w:p>
    <w:p>
      <w:pPr>
        <w:pStyle w:val="style179"/>
        <w:spacing w:after="0" w:lineRule="auto" w:line="480"/>
        <w:rPr>
          <w:rFonts w:ascii="Times New Roman" w:cs="Times New Roman" w:hAnsi="Times New Roman"/>
          <w:sz w:val="24"/>
          <w:szCs w:val="24"/>
        </w:rPr>
      </w:pPr>
      <w:r>
        <w:rPr>
          <w:rFonts w:ascii="Times New Roman" w:cs="Times New Roman" w:hAnsi="Times New Roman"/>
          <w:sz w:val="24"/>
          <w:szCs w:val="24"/>
        </w:rPr>
        <w:t xml:space="preserve">1. </w:t>
      </w:r>
      <w:r>
        <w:rPr>
          <w:rFonts w:ascii="Times New Roman" w:cs="Times New Roman" w:hAnsi="Times New Roman"/>
          <w:sz w:val="24"/>
          <w:szCs w:val="24"/>
        </w:rPr>
        <w:t xml:space="preserve">The implementation of AMI has improved the outcome of patients since the administration of percutaneous </w:t>
      </w:r>
      <w:r>
        <w:rPr>
          <w:rFonts w:ascii="Times New Roman" w:cs="Times New Roman" w:hAnsi="Times New Roman"/>
          <w:sz w:val="24"/>
          <w:szCs w:val="24"/>
        </w:rPr>
        <w:t>transluminal</w:t>
      </w:r>
      <w:r>
        <w:rPr>
          <w:rFonts w:ascii="Times New Roman" w:cs="Times New Roman" w:hAnsi="Times New Roman"/>
          <w:sz w:val="24"/>
          <w:szCs w:val="24"/>
        </w:rPr>
        <w:t xml:space="preserve"> coronary angioplasty (PTCA) reduces the mortality rate by 15-25% (</w:t>
      </w:r>
      <w:r>
        <w:rPr>
          <w:rFonts w:ascii="Times New Roman" w:cs="Times New Roman" w:hAnsi="Times New Roman"/>
          <w:sz w:val="24"/>
          <w:szCs w:val="24"/>
        </w:rPr>
        <w:t>Masica</w:t>
      </w:r>
      <w:r>
        <w:rPr>
          <w:rFonts w:ascii="Times New Roman" w:cs="Times New Roman" w:hAnsi="Times New Roman"/>
          <w:sz w:val="24"/>
          <w:szCs w:val="24"/>
        </w:rPr>
        <w:t xml:space="preserve">, Richter, </w:t>
      </w:r>
      <w:r>
        <w:rPr>
          <w:rFonts w:ascii="Times New Roman" w:cs="Times New Roman" w:hAnsi="Times New Roman"/>
          <w:sz w:val="24"/>
          <w:szCs w:val="24"/>
        </w:rPr>
        <w:t>Convery</w:t>
      </w:r>
      <w:r>
        <w:rPr>
          <w:rFonts w:ascii="Times New Roman" w:cs="Times New Roman" w:hAnsi="Times New Roman"/>
          <w:sz w:val="24"/>
          <w:szCs w:val="24"/>
        </w:rPr>
        <w:t xml:space="preserve"> &amp;</w:t>
      </w:r>
      <w:r>
        <w:rPr>
          <w:rFonts w:ascii="Times New Roman" w:cs="Times New Roman" w:hAnsi="Times New Roman"/>
          <w:sz w:val="24"/>
          <w:szCs w:val="24"/>
        </w:rPr>
        <w:t>Haydar</w:t>
      </w:r>
      <w:r>
        <w:rPr>
          <w:rFonts w:ascii="Times New Roman" w:cs="Times New Roman" w:hAnsi="Times New Roman"/>
          <w:sz w:val="24"/>
          <w:szCs w:val="24"/>
        </w:rPr>
        <w:t xml:space="preserve">, 2009). The death risk is reduced by 13% -23% in the case of using Beta-blockers. Some other medications in </w:t>
      </w:r>
      <w:r>
        <w:rPr>
          <w:rFonts w:ascii="Times New Roman" w:cs="Times New Roman" w:hAnsi="Times New Roman"/>
          <w:sz w:val="24"/>
          <w:szCs w:val="24"/>
        </w:rPr>
        <w:t xml:space="preserve">AMI include Aspirin, </w:t>
      </w:r>
      <w:r>
        <w:rPr>
          <w:rFonts w:ascii="Times New Roman" w:cs="Times New Roman" w:hAnsi="Times New Roman"/>
          <w:sz w:val="24"/>
          <w:szCs w:val="24"/>
        </w:rPr>
        <w:t>Angiotension</w:t>
      </w:r>
      <w:r>
        <w:rPr>
          <w:rFonts w:ascii="Times New Roman" w:cs="Times New Roman" w:hAnsi="Times New Roman"/>
          <w:sz w:val="24"/>
          <w:szCs w:val="24"/>
        </w:rPr>
        <w:t>-converting enzyme (ACE) inhibitor, and thrombolytic. Each of the measures reduces the rate of mortality and improves patients’ outcome.</w:t>
      </w:r>
    </w:p>
    <w:p>
      <w:pPr>
        <w:pStyle w:val="style179"/>
        <w:spacing w:after="0" w:lineRule="auto" w:line="480"/>
        <w:rPr>
          <w:rFonts w:ascii="Times New Roman" w:cs="Times New Roman" w:hAnsi="Times New Roman"/>
          <w:sz w:val="24"/>
          <w:szCs w:val="24"/>
        </w:rPr>
      </w:pPr>
      <w:r>
        <w:rPr>
          <w:rFonts w:ascii="Times New Roman" w:cs="Times New Roman" w:hAnsi="Times New Roman"/>
          <w:sz w:val="24"/>
          <w:szCs w:val="24"/>
        </w:rPr>
        <w:t>2.    The nurses have a great influence on the lives of the people as they are tasked to ensure that they encourage people to adopt healthy lifestyles. Through their tasks, they encourage regular exercise, weight management, control existing diseases and moderate alcohol use among patients. This helps to reduce the risks of ACS in patients and maximize long life.</w:t>
      </w:r>
    </w:p>
    <w:p>
      <w:pPr>
        <w:pStyle w:val="style179"/>
        <w:spacing w:after="0" w:lineRule="auto" w:line="480"/>
        <w:rPr>
          <w:rFonts w:ascii="Times New Roman" w:cs="Times New Roman" w:hAnsi="Times New Roman"/>
          <w:sz w:val="24"/>
          <w:szCs w:val="24"/>
        </w:rPr>
      </w:pPr>
      <w:r>
        <w:rPr>
          <w:rFonts w:ascii="Times New Roman" w:cs="Times New Roman" w:hAnsi="Times New Roman"/>
          <w:sz w:val="24"/>
          <w:szCs w:val="24"/>
        </w:rPr>
        <w:t>3.    The facility must treat patients admitted with AMI as indicated by the core measures of the joint commission. PTCA should be administered to the patients 90 minutes on arrival.</w:t>
      </w:r>
    </w:p>
    <w:p>
      <w:pPr>
        <w:pStyle w:val="style179"/>
        <w:spacing w:after="0" w:lineRule="auto" w:line="480"/>
        <w:rPr>
          <w:rFonts w:ascii="Times New Roman" w:cs="Times New Roman" w:hAnsi="Times New Roman"/>
          <w:sz w:val="24"/>
          <w:szCs w:val="24"/>
        </w:rPr>
      </w:pPr>
      <w:r>
        <w:rPr>
          <w:rFonts w:ascii="Times New Roman" w:cs="Times New Roman" w:hAnsi="Times New Roman"/>
          <w:sz w:val="24"/>
          <w:szCs w:val="24"/>
        </w:rPr>
        <w:t>4.    The nurses should be guided appropriately to know what and how they are supposed to respond to the patients with AMI using the standard order set. This should include; Aspirin and Beta-Blocker within the first 24 hours to prolong the patient’s life and thrombolytic therapy</w:t>
      </w:r>
      <w:r>
        <w:rPr>
          <w:rFonts w:ascii="Times New Roman" w:cs="Times New Roman" w:hAnsi="Times New Roman"/>
          <w:sz w:val="24"/>
          <w:szCs w:val="24"/>
        </w:rPr>
        <w:t xml:space="preserve"> (</w:t>
      </w:r>
      <w:r>
        <w:rPr>
          <w:rFonts w:ascii="Times New Roman" w:cs="Times New Roman" w:hAnsi="Times New Roman"/>
          <w:sz w:val="24"/>
          <w:szCs w:val="24"/>
        </w:rPr>
        <w:t>Masica</w:t>
      </w:r>
      <w:r>
        <w:rPr>
          <w:rFonts w:ascii="Times New Roman" w:cs="Times New Roman" w:hAnsi="Times New Roman"/>
          <w:sz w:val="24"/>
          <w:szCs w:val="24"/>
        </w:rPr>
        <w:t xml:space="preserve"> et al., 2009)</w:t>
      </w:r>
      <w:r>
        <w:rPr>
          <w:rFonts w:ascii="Times New Roman" w:cs="Times New Roman" w:hAnsi="Times New Roman"/>
          <w:sz w:val="24"/>
          <w:szCs w:val="24"/>
        </w:rPr>
        <w:t>.</w:t>
      </w:r>
    </w:p>
    <w:p>
      <w:pPr>
        <w:pStyle w:val="style179"/>
        <w:spacing w:after="0" w:lineRule="auto" w:line="480"/>
        <w:rPr>
          <w:rFonts w:ascii="Times New Roman" w:cs="Times New Roman" w:hAnsi="Times New Roman"/>
          <w:sz w:val="24"/>
          <w:szCs w:val="24"/>
        </w:rPr>
      </w:pPr>
    </w:p>
    <w:p>
      <w:pPr>
        <w:pStyle w:val="style179"/>
        <w:spacing w:after="0" w:lineRule="auto" w:line="480"/>
        <w:rPr>
          <w:rFonts w:ascii="Times New Roman" w:cs="Times New Roman" w:hAnsi="Times New Roman"/>
          <w:sz w:val="24"/>
          <w:szCs w:val="24"/>
        </w:rPr>
      </w:pPr>
    </w:p>
    <w:p>
      <w:pPr>
        <w:pStyle w:val="style179"/>
        <w:spacing w:after="0" w:lineRule="auto" w:line="480"/>
        <w:rPr>
          <w:rFonts w:ascii="Times New Roman" w:cs="Times New Roman" w:hAnsi="Times New Roman"/>
          <w:sz w:val="24"/>
          <w:szCs w:val="24"/>
        </w:rPr>
      </w:pPr>
    </w:p>
    <w:p>
      <w:pPr>
        <w:pStyle w:val="style179"/>
        <w:spacing w:after="0" w:lineRule="auto" w:line="480"/>
        <w:rPr>
          <w:rFonts w:ascii="Times New Roman" w:cs="Times New Roman" w:hAnsi="Times New Roman"/>
          <w:sz w:val="24"/>
          <w:szCs w:val="24"/>
        </w:rPr>
      </w:pPr>
    </w:p>
    <w:p>
      <w:pPr>
        <w:pStyle w:val="style179"/>
        <w:spacing w:after="0" w:lineRule="auto" w:line="480"/>
        <w:rPr>
          <w:rFonts w:ascii="Times New Roman" w:cs="Times New Roman" w:hAnsi="Times New Roman"/>
          <w:sz w:val="24"/>
          <w:szCs w:val="24"/>
        </w:rPr>
      </w:pPr>
    </w:p>
    <w:p>
      <w:pPr>
        <w:pStyle w:val="style179"/>
        <w:spacing w:after="0" w:lineRule="auto" w:line="480"/>
        <w:rPr>
          <w:rFonts w:ascii="Times New Roman" w:cs="Times New Roman" w:hAnsi="Times New Roman"/>
          <w:sz w:val="24"/>
          <w:szCs w:val="24"/>
        </w:rPr>
      </w:pPr>
    </w:p>
    <w:p>
      <w:pPr>
        <w:pStyle w:val="style179"/>
        <w:spacing w:after="0" w:lineRule="auto" w:line="480"/>
        <w:rPr>
          <w:rFonts w:ascii="Times New Roman" w:cs="Times New Roman" w:hAnsi="Times New Roman"/>
          <w:sz w:val="24"/>
          <w:szCs w:val="24"/>
        </w:rPr>
      </w:pPr>
    </w:p>
    <w:p>
      <w:pPr>
        <w:pStyle w:val="style179"/>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Dias, C. (2004). </w:t>
      </w:r>
      <w:r>
        <w:rPr>
          <w:rFonts w:ascii="Times New Roman" w:cs="Times New Roman" w:hAnsi="Times New Roman"/>
          <w:sz w:val="24"/>
          <w:szCs w:val="24"/>
          <w:shd w:val="clear" w:color="auto" w:fill="ffffff"/>
        </w:rPr>
        <w:t>Olaudah</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Equiano's</w:t>
      </w:r>
      <w:r>
        <w:rPr>
          <w:rFonts w:ascii="Times New Roman" w:cs="Times New Roman" w:hAnsi="Times New Roman"/>
          <w:sz w:val="24"/>
          <w:szCs w:val="24"/>
          <w:shd w:val="clear" w:color="auto" w:fill="ffffff"/>
        </w:rPr>
        <w:t xml:space="preserve"> Views of Slavery in his" Narrative of the Life".</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Undergraduate Review</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w:t>
      </w:r>
      <w:r>
        <w:rPr>
          <w:rFonts w:ascii="Times New Roman" w:cs="Times New Roman" w:hAnsi="Times New Roman"/>
          <w:sz w:val="24"/>
          <w:szCs w:val="24"/>
          <w:shd w:val="clear" w:color="auto" w:fill="ffffff"/>
        </w:rPr>
        <w:t>(1), 5-10. Retrieved from https://vc.bridgew.edu/cgi/viewcontent.cgi?referer=https://www.google.com/&amp;httpsredir=1&amp;article=1005&amp;context=undergrad_rev</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Lovejoy, P. E. (2005). The “Middle Passage”: The Enforced Migration of Africans across the Atlantic. </w:t>
      </w:r>
      <w:r>
        <w:rPr>
          <w:rFonts w:ascii="Times New Roman" w:cs="Times New Roman" w:hAnsi="Times New Roman"/>
          <w:i/>
          <w:iCs/>
          <w:sz w:val="24"/>
          <w:szCs w:val="24"/>
          <w:shd w:val="clear" w:color="auto" w:fill="ffffff"/>
        </w:rPr>
        <w:t xml:space="preserve">Origins (New York, NY: New York Public Library: </w:t>
      </w:r>
      <w:r>
        <w:rPr>
          <w:rFonts w:ascii="Times New Roman" w:cs="Times New Roman" w:hAnsi="Times New Roman"/>
          <w:i/>
          <w:iCs/>
          <w:sz w:val="24"/>
          <w:szCs w:val="24"/>
          <w:shd w:val="clear" w:color="auto" w:fill="ffffff"/>
        </w:rPr>
        <w:t>Schomburg</w:t>
      </w:r>
      <w:r>
        <w:rPr>
          <w:rFonts w:ascii="Times New Roman" w:cs="Times New Roman" w:hAnsi="Times New Roman"/>
          <w:i/>
          <w:iCs/>
          <w:sz w:val="24"/>
          <w:szCs w:val="24"/>
          <w:shd w:val="clear" w:color="auto" w:fill="ffffff"/>
        </w:rPr>
        <w:t xml:space="preserve"> Center for Research in Black Culture, 2008)</w:t>
      </w:r>
      <w:r>
        <w:rPr>
          <w:rFonts w:ascii="Times New Roman" w:cs="Times New Roman" w:hAnsi="Times New Roman"/>
          <w:sz w:val="24"/>
          <w:szCs w:val="24"/>
          <w:shd w:val="clear" w:color="auto" w:fill="ffffff"/>
        </w:rPr>
        <w:t xml:space="preserve">. Retrieved from </w:t>
      </w:r>
      <w:r>
        <w:rPr/>
        <w:fldChar w:fldCharType="begin"/>
      </w:r>
      <w:r>
        <w:instrText xml:space="preserve"> HYPERLINK "https://pdfs.semanticscholar.org/10e6/57def8e3ec5de5ec51630afc3eedc43f8127.pdf" </w:instrText>
      </w:r>
      <w:r>
        <w:rPr/>
        <w:fldChar w:fldCharType="separate"/>
      </w:r>
      <w:r>
        <w:rPr>
          <w:rStyle w:val="style85"/>
          <w:rFonts w:ascii="Times New Roman" w:cs="Times New Roman" w:hAnsi="Times New Roman"/>
          <w:color w:val="auto"/>
          <w:sz w:val="24"/>
          <w:szCs w:val="24"/>
          <w:u w:val="none"/>
          <w:shd w:val="clear" w:color="auto" w:fill="ffffff"/>
        </w:rPr>
        <w:t>https://pdfs.semanticscholar.org/10e6/57def8e3ec5de5ec51630afc3eedc43f8127.pdf</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Masica</w:t>
      </w:r>
      <w:r>
        <w:rPr>
          <w:rFonts w:ascii="Times New Roman" w:cs="Times New Roman" w:hAnsi="Times New Roman"/>
          <w:sz w:val="24"/>
          <w:szCs w:val="24"/>
          <w:shd w:val="clear" w:color="auto" w:fill="ffffff"/>
        </w:rPr>
        <w:t xml:space="preserve">, A. L., Richter, K. M., </w:t>
      </w:r>
      <w:r>
        <w:rPr>
          <w:rFonts w:ascii="Times New Roman" w:cs="Times New Roman" w:hAnsi="Times New Roman"/>
          <w:sz w:val="24"/>
          <w:szCs w:val="24"/>
          <w:shd w:val="clear" w:color="auto" w:fill="ffffff"/>
        </w:rPr>
        <w:t>Convery</w:t>
      </w:r>
      <w:r>
        <w:rPr>
          <w:rFonts w:ascii="Times New Roman" w:cs="Times New Roman" w:hAnsi="Times New Roman"/>
          <w:sz w:val="24"/>
          <w:szCs w:val="24"/>
          <w:shd w:val="clear" w:color="auto" w:fill="ffffff"/>
        </w:rPr>
        <w:t xml:space="preserve">, P., &amp; </w:t>
      </w:r>
      <w:r>
        <w:rPr>
          <w:rFonts w:ascii="Times New Roman" w:cs="Times New Roman" w:hAnsi="Times New Roman"/>
          <w:sz w:val="24"/>
          <w:szCs w:val="24"/>
          <w:shd w:val="clear" w:color="auto" w:fill="ffffff"/>
        </w:rPr>
        <w:t>Haydar</w:t>
      </w:r>
      <w:r>
        <w:rPr>
          <w:rFonts w:ascii="Times New Roman" w:cs="Times New Roman" w:hAnsi="Times New Roman"/>
          <w:sz w:val="24"/>
          <w:szCs w:val="24"/>
          <w:shd w:val="clear" w:color="auto" w:fill="ffffff"/>
        </w:rPr>
        <w:t>, Z. (2009, April).</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Linking joint commission inpatient core measures and national patient safety goals with evidence.</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In </w:t>
      </w:r>
      <w:r>
        <w:rPr>
          <w:rFonts w:ascii="Times New Roman" w:cs="Times New Roman" w:hAnsi="Times New Roman"/>
          <w:i/>
          <w:iCs/>
          <w:sz w:val="24"/>
          <w:szCs w:val="24"/>
          <w:shd w:val="clear" w:color="auto" w:fill="ffffff"/>
        </w:rPr>
        <w:t>Baylor University Medical Center Proceedings</w:t>
      </w:r>
      <w:r>
        <w:rPr>
          <w:rFonts w:ascii="Times New Roman" w:cs="Times New Roman" w:hAnsi="Times New Roman"/>
          <w:sz w:val="24"/>
          <w:szCs w:val="24"/>
          <w:shd w:val="clear" w:color="auto" w:fill="ffffff"/>
        </w:rPr>
        <w:t> (Vol. 22, No. 2, pp. 103-111).</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Taylor &amp; Francis.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QUESTIONS AND ANSWERS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QUESTIONS AND ANSWERS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042A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39D63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bcecd5cb-e828-4004-8284-7b358d7c6289"/>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63f194b5-2667-476e-837b-7be9cb2c256d"/>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e90c1c59-defe-4c1e-ac6b-1fa8aa326e8b"/>
    <w:basedOn w:val="style65"/>
    <w:next w:val="style4099"/>
    <w:link w:val="style3"/>
    <w:uiPriority w:val="9"/>
    <w:rPr>
      <w:rFonts w:ascii="Cambria" w:cs="宋体" w:eastAsia="宋体" w:hAnsi="Cambria"/>
      <w:b/>
      <w:bCs/>
      <w:color w:val="4f81bd"/>
    </w:rPr>
  </w:style>
  <w:style w:type="character" w:customStyle="1" w:styleId="style4100">
    <w:name w:val="Heading 4 Char_c085f6d1-4cc6-4710-96c4-1931393ca39c"/>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a9d18219-1c92-48c9-a8ac-0d7bcf2c6937"/>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7aa2d24a-27bf-4b61-9fbd-091691a6be91"/>
    <w:basedOn w:val="style65"/>
    <w:next w:val="style4102"/>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538</Words>
  <Pages>4</Pages>
  <Characters>2988</Characters>
  <Application>WPS Office</Application>
  <DocSecurity>0</DocSecurity>
  <Paragraphs>51</Paragraphs>
  <ScaleCrop>false</ScaleCrop>
  <LinksUpToDate>false</LinksUpToDate>
  <CharactersWithSpaces>3522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2018-09-26T07:17:05Z</dcterms:created>
  <dc:creator>Hp</dc:creator>
  <lastModifiedBy>TA-1021</lastModifiedBy>
  <dcterms:modified xsi:type="dcterms:W3CDTF">2018-09-26T07:17:05Z</dcterms:modified>
  <revision>1</revision>
</coreProperties>
</file>

<file path=docProps/custom.xml><?xml version="1.0" encoding="utf-8"?>
<Properties xmlns="http://schemas.openxmlformats.org/officeDocument/2006/custom-properties" xmlns:vt="http://schemas.openxmlformats.org/officeDocument/2006/docPropsVTypes"/>
</file>